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:rsidR="00C43BEE" w:rsidRPr="00D06B05" w:rsidRDefault="00C57DE5" w:rsidP="00AE6EC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:rsidR="00C43BEE" w:rsidRPr="00BD2DEC" w:rsidRDefault="00C43BEE" w:rsidP="00C43BE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 w:rsidR="00766012"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:rsidR="00C43BEE" w:rsidRDefault="00FF6C3A" w:rsidP="008876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大学を卒業後、●●</w:t>
      </w:r>
      <w:r w:rsidR="00BF5224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株式会社にて正社員として勤務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。</w:t>
      </w:r>
      <w:r w:rsidR="00BF5224">
        <w:rPr>
          <w:rFonts w:asciiTheme="minorEastAsia" w:eastAsiaTheme="minorEastAsia" w:hAnsiTheme="minorEastAsia" w:cs="ＭＳ Ｐゴシック" w:hint="eastAsia"/>
          <w:sz w:val="20"/>
          <w:szCs w:val="20"/>
        </w:rPr>
        <w:t>ホール業務全般、キッチン業務全般に携わり、2016年2月からは、これらの業務に加え、</w:t>
      </w:r>
      <w:r w:rsidR="00BF5224" w:rsidRPr="007F192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クレーム対応、固定費を含めた詳細な数値管理、館担当との店長ミーティング、販促計画、アルバイト採用計画、事務処理全般、シフト作成</w:t>
      </w:r>
      <w:r w:rsidR="00BF522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といった業務も担当。</w:t>
      </w:r>
      <w:r w:rsidR="00BF5224" w:rsidRPr="007F192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人材不足が深刻な状態</w:t>
      </w:r>
      <w:r w:rsidR="00BF522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の中、</w:t>
      </w:r>
      <w:r w:rsidR="00BF5224" w:rsidRPr="007F192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アルバイトスタッフの業務のマルチ化により運営の安定を行</w:t>
      </w:r>
      <w:r w:rsidR="00BF522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い、月間売上昨年対比110％を達成。現在に至ります。</w:t>
      </w:r>
    </w:p>
    <w:p w:rsidR="008876EE" w:rsidRPr="00BF5224" w:rsidRDefault="008876EE" w:rsidP="008876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:rsidR="00B55E02" w:rsidRPr="000570C0" w:rsidRDefault="00C43BEE" w:rsidP="000570C0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:rsidR="001264D7" w:rsidRPr="00D06B05" w:rsidRDefault="001264D7" w:rsidP="001264D7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56624D" w:rsidRPr="0056624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2014年07月～2016年11月　●●株式会社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</w:t>
      </w:r>
      <w:proofErr w:type="gramStart"/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か</w:t>
      </w:r>
      <w:proofErr w:type="gramEnd"/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</w:p>
    <w:p w:rsidR="001264D7" w:rsidRPr="00D06B05" w:rsidRDefault="001264D7" w:rsidP="001264D7">
      <w:pPr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56624D" w:rsidRPr="0056624D">
        <w:rPr>
          <w:rFonts w:asciiTheme="minorHAnsi" w:eastAsia="ＭＳ Ｐ明朝" w:hAnsiTheme="minorHAnsi" w:cs="ＭＳ Ｐゴシック" w:hint="eastAsia"/>
          <w:sz w:val="20"/>
          <w:szCs w:val="20"/>
        </w:rPr>
        <w:t>フードサービス・飲食</w:t>
      </w:r>
    </w:p>
    <w:p w:rsidR="001264D7" w:rsidRPr="00D06B05" w:rsidRDefault="001264D7" w:rsidP="001264D7">
      <w:pPr>
        <w:spacing w:line="320" w:lineRule="atLeast"/>
        <w:ind w:firstLineChars="100" w:firstLine="18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資本金：○○億円　売上高：○○億円　従業員数：○○名　設立：○○年○○月　株式公開：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東証マザーズ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1264D7" w:rsidRPr="00D06B05" w:rsidTr="00E109F6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1264D7" w:rsidRPr="00D06B05" w:rsidTr="00E109F6">
        <w:trPr>
          <w:jc w:val="center"/>
        </w:trPr>
        <w:tc>
          <w:tcPr>
            <w:tcW w:w="1366" w:type="dxa"/>
            <w:shd w:val="clear" w:color="auto" w:fill="FFFFFF"/>
          </w:tcPr>
          <w:p w:rsidR="0056624D" w:rsidRPr="0056624D" w:rsidRDefault="0056624D" w:rsidP="0056624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2014年7月</w:t>
            </w:r>
          </w:p>
          <w:p w:rsidR="0056624D" w:rsidRPr="0056624D" w:rsidRDefault="0056624D" w:rsidP="0056624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:rsidR="001264D7" w:rsidRPr="00D06B05" w:rsidRDefault="0056624D" w:rsidP="0056624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2016年</w:t>
            </w:r>
            <w:r w:rsidR="007F192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</w:t>
            </w:r>
            <w:r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400" w:type="dxa"/>
            <w:shd w:val="clear" w:color="auto" w:fill="FFFFFF"/>
          </w:tcPr>
          <w:p w:rsidR="001264D7" w:rsidRPr="00D06B05" w:rsidRDefault="0056624D" w:rsidP="007F192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韓国料理店「●●●」、タイ料理店「●●●」</w:t>
            </w:r>
            <w:r w:rsidR="007F192E" w:rsidRPr="007F192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ダイバーシティ東京プラザ店配属</w:t>
            </w:r>
          </w:p>
          <w:p w:rsidR="007F192E" w:rsidRDefault="007F192E" w:rsidP="007F192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業務内容</w:t>
            </w:r>
            <w:r w:rsidR="001264D7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】</w:t>
            </w:r>
          </w:p>
          <w:p w:rsidR="007F192E" w:rsidRPr="007F192E" w:rsidRDefault="007F192E" w:rsidP="007F192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F192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ホール業務全般（オーダーテイク・配膳・レジ等）</w:t>
            </w:r>
          </w:p>
          <w:p w:rsidR="007F192E" w:rsidRPr="007F192E" w:rsidRDefault="007F192E" w:rsidP="007F192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F192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キッチン業務全般（仕込み・調理・食器洗浄等）</w:t>
            </w:r>
          </w:p>
          <w:p w:rsidR="00E07A24" w:rsidRPr="00D06B05" w:rsidRDefault="007F192E" w:rsidP="007F192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7F192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発注、精算、アルバイトスタッフ教育、月間予算計画、月報作成</w:t>
            </w:r>
          </w:p>
          <w:p w:rsidR="001F31F9" w:rsidRDefault="001F31F9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:rsidR="001264D7" w:rsidRPr="00D06B05" w:rsidRDefault="001264D7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="007F192E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工夫・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:rsidR="007F192E" w:rsidRPr="007F192E" w:rsidRDefault="007F192E" w:rsidP="007F192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F192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「研修後からは主に店舗クレンリネスの強化を担当。整理整頓、清掃ルーティン表の作成やアイドルタイムの清掃意識改善を行った。2015年7月より東京純豆腐の店舗責任者に任命。</w:t>
            </w:r>
          </w:p>
          <w:p w:rsidR="007F192E" w:rsidRPr="007F192E" w:rsidRDefault="007F192E" w:rsidP="007F192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F192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2015年8月～9月における最繁忙期における、メニュー改善。1時間単位でのウェイティンが出来る状態のため、回転効率を重視し、仕込みや調理の重いメニューの削減を行った。結果、両店舗合計で8月度1,000万の売上達成。」</w:t>
            </w:r>
          </w:p>
        </w:tc>
      </w:tr>
      <w:tr w:rsidR="007F192E" w:rsidRPr="00D06B05" w:rsidTr="00E109F6">
        <w:trPr>
          <w:jc w:val="center"/>
        </w:trPr>
        <w:tc>
          <w:tcPr>
            <w:tcW w:w="1366" w:type="dxa"/>
            <w:shd w:val="clear" w:color="auto" w:fill="FFFFFF"/>
          </w:tcPr>
          <w:p w:rsidR="007F192E" w:rsidRPr="0056624D" w:rsidRDefault="007F192E" w:rsidP="007F192E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2016</w:t>
            </w:r>
            <w:r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</w:t>
            </w:r>
            <w:r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月</w:t>
            </w:r>
          </w:p>
          <w:p w:rsidR="007F192E" w:rsidRPr="0056624D" w:rsidRDefault="007F192E" w:rsidP="007F192E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:rsidR="007F192E" w:rsidRPr="00D06B05" w:rsidRDefault="007F192E" w:rsidP="007F192E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2016年11月</w:t>
            </w:r>
          </w:p>
        </w:tc>
        <w:tc>
          <w:tcPr>
            <w:tcW w:w="8400" w:type="dxa"/>
            <w:shd w:val="clear" w:color="auto" w:fill="FFFFFF"/>
          </w:tcPr>
          <w:p w:rsidR="007F192E" w:rsidRPr="00D06B05" w:rsidRDefault="007F192E" w:rsidP="007F192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F192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韓国料理店「●●●」横浜ジョイナス店配属</w:t>
            </w:r>
          </w:p>
          <w:p w:rsidR="007F192E" w:rsidRDefault="007F192E" w:rsidP="007F192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業務内容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】</w:t>
            </w:r>
          </w:p>
          <w:p w:rsidR="007F192E" w:rsidRDefault="007F192E" w:rsidP="007F192E">
            <w:pPr>
              <w:spacing w:line="240" w:lineRule="atLeast"/>
              <w:ind w:leftChars="50" w:left="110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F192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上記業務全般に加え、クレーム対応、固定費を含めた詳細な数値管理、館担当との店長ミーティング、販促計画、アルバイト採用計画、事務処理全般、シフト作成</w:t>
            </w:r>
          </w:p>
          <w:p w:rsidR="007F192E" w:rsidRDefault="007F192E" w:rsidP="007F192E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:rsidR="007F192E" w:rsidRPr="007F192E" w:rsidRDefault="007F192E" w:rsidP="007F192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工夫・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:rsidR="007F192E" w:rsidRPr="00BF5224" w:rsidRDefault="007F192E" w:rsidP="00BF522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F192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「横浜ジョイナス店では、人材不足が深刻な状態での配属となったため、新規アルバイトの採用から、既存スタッフのマルチ化を重点的に行った。アルバイトスタッフの業務のマルチ化により運営の安定を行った。また7月～9月における売上減少に伴い、客数の上昇を目標に販促を行った。フロア内に冷製メニューでの販促を行っている店舗が少なかったため、冷麺の専用ポスターの作成し、店頭にてアピールを行った。目標としていた、昨年対比単日10名の客数アップを達成し、月間売上昨年対比110％を達成した。」</w:t>
            </w:r>
          </w:p>
        </w:tc>
      </w:tr>
    </w:tbl>
    <w:p w:rsidR="001264D7" w:rsidRDefault="001264D7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BF5224" w:rsidRDefault="00BF5224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BF5224" w:rsidRDefault="00BF5224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BF5224" w:rsidRPr="001264D7" w:rsidRDefault="00BF5224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lastRenderedPageBreak/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・普通自動車第1種免許（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:rsidR="001F31F9" w:rsidRPr="001F31F9" w:rsidRDefault="001F31F9" w:rsidP="001F31F9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</w:t>
      </w:r>
      <w:r w:rsidRPr="001F31F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MOSエクセルスペシャリスト</w:t>
      </w:r>
      <w:r w:rsidR="00FE0CD9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FE0CD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FE0CD9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FE0CD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FE0CD9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:rsidR="001F31F9" w:rsidRPr="00D06B05" w:rsidRDefault="001F31F9" w:rsidP="001F31F9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</w:t>
      </w:r>
      <w:r w:rsidRPr="001F31F9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MOSワードスペシャリスト</w:t>
      </w:r>
      <w:r w:rsidR="00FE0CD9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FE0CD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FE0CD9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FE0CD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FE0CD9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:rsidR="00BF5224" w:rsidRDefault="00BF5224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ワード、エクセ</w:t>
      </w:r>
      <w:bookmarkStart w:id="0" w:name="_GoBack"/>
      <w:bookmarkEnd w:id="0"/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ル、パワーポイント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:rsidR="00C43BEE" w:rsidRPr="00BF5224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 w:rsidRPr="00BF5224"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  <w:t>【１】</w:t>
      </w:r>
      <w:r w:rsidR="001F31F9" w:rsidRPr="00BF5224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作業の効率化</w:t>
      </w:r>
    </w:p>
    <w:p w:rsidR="001F31F9" w:rsidRPr="001F31F9" w:rsidRDefault="001F31F9" w:rsidP="001F31F9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1F31F9">
        <w:rPr>
          <w:rFonts w:asciiTheme="minorEastAsia" w:eastAsiaTheme="minorEastAsia" w:hAnsiTheme="minorEastAsia" w:cs="ＭＳ Ｐゴシック" w:hint="eastAsia"/>
          <w:sz w:val="20"/>
          <w:szCs w:val="20"/>
        </w:rPr>
        <w:t>飲食店での勤務経験の中で、作業効率を重視して従事してきました。細かい備品の配置や、仕込みの順番などから、ホールでの動き方まで、効率よく行動できるよう意識し、共有して参りました。</w:t>
      </w:r>
    </w:p>
    <w:p w:rsidR="001F31F9" w:rsidRDefault="001F31F9" w:rsidP="001F31F9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1F31F9">
        <w:rPr>
          <w:rFonts w:asciiTheme="minorEastAsia" w:eastAsiaTheme="minorEastAsia" w:hAnsiTheme="minorEastAsia" w:cs="ＭＳ Ｐゴシック" w:hint="eastAsia"/>
          <w:sz w:val="20"/>
          <w:szCs w:val="20"/>
        </w:rPr>
        <w:t>具体的には、ホールでの1way2workで、提供に出たら必ず店内を1周し、オーダーテイクや、空いている席のセッティングや、お冷周りの確認、食べ終えた食器のバッシングなど、行き仕事としての提供、帰り仕事として1つ仕事をこなして帰ってくることで、無駄な往復をなくすなど、アルバイトスタッフにも共有し、全体の作業効率を上げる意識をつけることができます。</w:t>
      </w:r>
    </w:p>
    <w:p w:rsidR="00C43BEE" w:rsidRPr="00BF5224" w:rsidRDefault="00C43BEE" w:rsidP="001F31F9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 w:rsidRPr="00BF5224"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  <w:t>【２】</w:t>
      </w:r>
      <w:r w:rsidR="001F31F9" w:rsidRPr="00BF5224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数値管理</w:t>
      </w:r>
    </w:p>
    <w:p w:rsidR="001F31F9" w:rsidRPr="001F31F9" w:rsidRDefault="001F31F9" w:rsidP="001F31F9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1F31F9">
        <w:rPr>
          <w:rFonts w:asciiTheme="minorEastAsia" w:eastAsiaTheme="minorEastAsia" w:hAnsiTheme="minorEastAsia" w:cs="ＭＳ Ｐゴシック" w:hint="eastAsia"/>
          <w:sz w:val="20"/>
          <w:szCs w:val="20"/>
        </w:rPr>
        <w:t>横浜店に配属されてからは、詳細な数値管理を任され、年間1億円規模の予算計画の作成から、仕入れ、人件費管理を行って参りました。昨年、昨月の売上、フロア内売上推移、近隣イベントから月間予算を作成し、利益を出す計画能力を養うことができました。マネージャー、GMとのミーティングを行い、月間の</w:t>
      </w:r>
      <w:r w:rsidR="00BF5224">
        <w:rPr>
          <w:rFonts w:asciiTheme="minorEastAsia" w:eastAsiaTheme="minorEastAsia" w:hAnsiTheme="minorEastAsia" w:cs="ＭＳ Ｐゴシック" w:hint="eastAsia"/>
          <w:sz w:val="20"/>
          <w:szCs w:val="20"/>
        </w:rPr>
        <w:t>売上を予測し、月間予算の決定から、日割り予算を作成し、当日目標</w:t>
      </w:r>
      <w:r w:rsidRPr="001F31F9">
        <w:rPr>
          <w:rFonts w:asciiTheme="minorEastAsia" w:eastAsiaTheme="minorEastAsia" w:hAnsiTheme="minorEastAsia" w:cs="ＭＳ Ｐゴシック" w:hint="eastAsia"/>
          <w:sz w:val="20"/>
          <w:szCs w:val="20"/>
        </w:rPr>
        <w:t>達成をスタッフ共有し予算達成を目指し店舗運営を行いました。当日出勤スタッフには2時間おきに売上確認をし、目標に届くよう店頭での声掛けやサイドメニューやドリンクのサジェスト強化など、1日ずつ達成できるよう店舗運営をして参りました。</w:t>
      </w:r>
    </w:p>
    <w:p w:rsidR="001F31F9" w:rsidRDefault="001F31F9" w:rsidP="001F31F9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1F31F9">
        <w:rPr>
          <w:rFonts w:asciiTheme="minorEastAsia" w:eastAsiaTheme="minorEastAsia" w:hAnsiTheme="minorEastAsia" w:cs="ＭＳ Ｐゴシック" w:hint="eastAsia"/>
          <w:sz w:val="20"/>
          <w:szCs w:val="20"/>
        </w:rPr>
        <w:t>ドリンクのおすすめや、高単価商品のおすすめなど、月間目標を明確にし、スタッフ共有することで、配属2ヶ月目より予算達成、全店売上5位以内を達成し続けてまいりました。</w:t>
      </w:r>
    </w:p>
    <w:p w:rsidR="00C43BEE" w:rsidRPr="00BF5224" w:rsidRDefault="00C43BEE" w:rsidP="001F31F9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 w:rsidRPr="00BF5224"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  <w:t>【３】</w:t>
      </w:r>
      <w:r w:rsidR="001F31F9" w:rsidRPr="00BF5224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視野の広さ</w:t>
      </w:r>
    </w:p>
    <w:p w:rsidR="001F31F9" w:rsidRPr="001F31F9" w:rsidRDefault="001F31F9" w:rsidP="001F31F9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1F31F9">
        <w:rPr>
          <w:rFonts w:asciiTheme="minorEastAsia" w:eastAsiaTheme="minorEastAsia" w:hAnsiTheme="minorEastAsia" w:cs="ＭＳ Ｐゴシック" w:hint="eastAsia"/>
          <w:sz w:val="20"/>
          <w:szCs w:val="20"/>
        </w:rPr>
        <w:t>アルバイト時代を含む約8年の飲食店勤務により、ポジションにとらわれない視野の広さを養って参りました。</w:t>
      </w:r>
    </w:p>
    <w:p w:rsidR="001F31F9" w:rsidRPr="001F31F9" w:rsidRDefault="001F31F9" w:rsidP="001F31F9">
      <w:pPr>
        <w:wordWrap w:val="0"/>
        <w:rPr>
          <w:rFonts w:asciiTheme="minorEastAsia" w:eastAsiaTheme="minorEastAsia" w:hAnsiTheme="minorEastAsia" w:cs="ＭＳ Ｐゴシック"/>
          <w:sz w:val="20"/>
          <w:szCs w:val="20"/>
        </w:rPr>
      </w:pPr>
      <w:r w:rsidRPr="001F31F9">
        <w:rPr>
          <w:rFonts w:asciiTheme="minorEastAsia" w:eastAsiaTheme="minorEastAsia" w:hAnsiTheme="minorEastAsia" w:cs="ＭＳ Ｐゴシック" w:hint="eastAsia"/>
          <w:sz w:val="20"/>
          <w:szCs w:val="20"/>
        </w:rPr>
        <w:t>カウンターキッチンでの業務が多かったため、店内状況を見渡すことができ、お冷やオーダー待ち、来店など、調理中でも常に気にかけホールスタッフへの指示だしや、必要に応じてのポジションチェンジなど視野を広げ、作業ではなく考え行動することが出来ます。</w:t>
      </w:r>
    </w:p>
    <w:p w:rsidR="001F31F9" w:rsidRDefault="001F31F9" w:rsidP="001F31F9">
      <w:pPr>
        <w:wordWrap w:val="0"/>
        <w:rPr>
          <w:rFonts w:asciiTheme="minorEastAsia" w:eastAsiaTheme="minorEastAsia" w:hAnsiTheme="minorEastAsia" w:cs="ＭＳ Ｐゴシック"/>
          <w:sz w:val="20"/>
          <w:szCs w:val="20"/>
        </w:rPr>
      </w:pPr>
      <w:r w:rsidRPr="001F31F9">
        <w:rPr>
          <w:rFonts w:asciiTheme="minorEastAsia" w:eastAsiaTheme="minorEastAsia" w:hAnsiTheme="minorEastAsia" w:cs="ＭＳ Ｐゴシック" w:hint="eastAsia"/>
          <w:sz w:val="20"/>
          <w:szCs w:val="20"/>
        </w:rPr>
        <w:t>また、オープン＆クローズ業務を中心に作業変更など、アルバイトスタッフと相談し改善するなど、立場に気を使うことなく、アルバイトのスタッフから「こうした方が良い」などの意見ももらうことも多く、社員がすべてではなく、立場に関係なく向上していく関係を構築することが出来ます。</w:t>
      </w:r>
    </w:p>
    <w:p w:rsidR="001F31F9" w:rsidRDefault="001F31F9" w:rsidP="001F31F9">
      <w:pPr>
        <w:jc w:val="right"/>
        <w:rPr>
          <w:rFonts w:asciiTheme="minorEastAsia" w:eastAsiaTheme="minorEastAsia" w:hAnsiTheme="minorEastAsia" w:cs="ＭＳ Ｐゴシック"/>
          <w:sz w:val="20"/>
          <w:szCs w:val="20"/>
        </w:rPr>
      </w:pPr>
    </w:p>
    <w:p w:rsidR="005A7B88" w:rsidRPr="00D06B05" w:rsidRDefault="00C43BEE" w:rsidP="001F31F9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5E5" w:rsidRDefault="00C735E5" w:rsidP="00DE0BB9">
      <w:r>
        <w:separator/>
      </w:r>
    </w:p>
  </w:endnote>
  <w:endnote w:type="continuationSeparator" w:id="0">
    <w:p w:rsidR="00C735E5" w:rsidRDefault="00C735E5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5E5" w:rsidRDefault="00C735E5" w:rsidP="00DE0BB9">
      <w:r>
        <w:separator/>
      </w:r>
    </w:p>
  </w:footnote>
  <w:footnote w:type="continuationSeparator" w:id="0">
    <w:p w:rsidR="00C735E5" w:rsidRDefault="00C735E5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0466C"/>
    <w:rsid w:val="00037858"/>
    <w:rsid w:val="00052A8E"/>
    <w:rsid w:val="00056E13"/>
    <w:rsid w:val="000570C0"/>
    <w:rsid w:val="00063839"/>
    <w:rsid w:val="000A72DA"/>
    <w:rsid w:val="000B54C6"/>
    <w:rsid w:val="000E78F6"/>
    <w:rsid w:val="000F6A72"/>
    <w:rsid w:val="00102C13"/>
    <w:rsid w:val="00114CE3"/>
    <w:rsid w:val="001219C8"/>
    <w:rsid w:val="00122C5B"/>
    <w:rsid w:val="001264D7"/>
    <w:rsid w:val="001628D5"/>
    <w:rsid w:val="00170EEC"/>
    <w:rsid w:val="00174BDC"/>
    <w:rsid w:val="001A73A2"/>
    <w:rsid w:val="001E63CC"/>
    <w:rsid w:val="001F1F8D"/>
    <w:rsid w:val="001F31F9"/>
    <w:rsid w:val="001F787A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85281"/>
    <w:rsid w:val="004A0F78"/>
    <w:rsid w:val="004A35E7"/>
    <w:rsid w:val="004A79C7"/>
    <w:rsid w:val="004B2462"/>
    <w:rsid w:val="004C4926"/>
    <w:rsid w:val="004D26CD"/>
    <w:rsid w:val="004D4095"/>
    <w:rsid w:val="004D5297"/>
    <w:rsid w:val="004E59D9"/>
    <w:rsid w:val="004F0F7B"/>
    <w:rsid w:val="00516963"/>
    <w:rsid w:val="0056624D"/>
    <w:rsid w:val="00577563"/>
    <w:rsid w:val="0058572B"/>
    <w:rsid w:val="005A5F45"/>
    <w:rsid w:val="005A7B88"/>
    <w:rsid w:val="005C1E0F"/>
    <w:rsid w:val="005C48BD"/>
    <w:rsid w:val="005E6CF6"/>
    <w:rsid w:val="00615D5B"/>
    <w:rsid w:val="00643249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6F2719"/>
    <w:rsid w:val="00720C66"/>
    <w:rsid w:val="00722001"/>
    <w:rsid w:val="007456BF"/>
    <w:rsid w:val="00753C42"/>
    <w:rsid w:val="00754192"/>
    <w:rsid w:val="00764903"/>
    <w:rsid w:val="00766012"/>
    <w:rsid w:val="00766E9B"/>
    <w:rsid w:val="007710DD"/>
    <w:rsid w:val="00780632"/>
    <w:rsid w:val="007C093F"/>
    <w:rsid w:val="007D7D79"/>
    <w:rsid w:val="007E5E68"/>
    <w:rsid w:val="007E77F4"/>
    <w:rsid w:val="007F192E"/>
    <w:rsid w:val="00802E93"/>
    <w:rsid w:val="008249EE"/>
    <w:rsid w:val="0083027B"/>
    <w:rsid w:val="00844FA6"/>
    <w:rsid w:val="00864972"/>
    <w:rsid w:val="0087091F"/>
    <w:rsid w:val="00871E65"/>
    <w:rsid w:val="008755F9"/>
    <w:rsid w:val="008876EE"/>
    <w:rsid w:val="00895D30"/>
    <w:rsid w:val="008A05F3"/>
    <w:rsid w:val="008A4F21"/>
    <w:rsid w:val="008F1852"/>
    <w:rsid w:val="00900E32"/>
    <w:rsid w:val="009105F0"/>
    <w:rsid w:val="00952263"/>
    <w:rsid w:val="009852F6"/>
    <w:rsid w:val="009A1D7A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40D5"/>
    <w:rsid w:val="00AE6ECC"/>
    <w:rsid w:val="00AE71B0"/>
    <w:rsid w:val="00B55E02"/>
    <w:rsid w:val="00B92DF8"/>
    <w:rsid w:val="00BD2DEC"/>
    <w:rsid w:val="00BD6D1C"/>
    <w:rsid w:val="00BE3F6A"/>
    <w:rsid w:val="00BE6B68"/>
    <w:rsid w:val="00BF5224"/>
    <w:rsid w:val="00C06656"/>
    <w:rsid w:val="00C13FF3"/>
    <w:rsid w:val="00C247FD"/>
    <w:rsid w:val="00C43BEE"/>
    <w:rsid w:val="00C4733C"/>
    <w:rsid w:val="00C50293"/>
    <w:rsid w:val="00C57789"/>
    <w:rsid w:val="00C57DE5"/>
    <w:rsid w:val="00C735E5"/>
    <w:rsid w:val="00C804FE"/>
    <w:rsid w:val="00C84AF3"/>
    <w:rsid w:val="00C85879"/>
    <w:rsid w:val="00CA1022"/>
    <w:rsid w:val="00CB11C2"/>
    <w:rsid w:val="00CF170B"/>
    <w:rsid w:val="00D00A20"/>
    <w:rsid w:val="00D047DD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C1E84"/>
    <w:rsid w:val="00DE0BB9"/>
    <w:rsid w:val="00DE6001"/>
    <w:rsid w:val="00E012D6"/>
    <w:rsid w:val="00E07A24"/>
    <w:rsid w:val="00E10ABE"/>
    <w:rsid w:val="00E11531"/>
    <w:rsid w:val="00E22C31"/>
    <w:rsid w:val="00E407A6"/>
    <w:rsid w:val="00E472E8"/>
    <w:rsid w:val="00E92FDB"/>
    <w:rsid w:val="00E92FDF"/>
    <w:rsid w:val="00E939EB"/>
    <w:rsid w:val="00E97F38"/>
    <w:rsid w:val="00EB62D7"/>
    <w:rsid w:val="00ED2680"/>
    <w:rsid w:val="00ED7569"/>
    <w:rsid w:val="00EF0035"/>
    <w:rsid w:val="00EF2F10"/>
    <w:rsid w:val="00EF33C2"/>
    <w:rsid w:val="00F069E4"/>
    <w:rsid w:val="00F55227"/>
    <w:rsid w:val="00F64830"/>
    <w:rsid w:val="00F65A9F"/>
    <w:rsid w:val="00F7426E"/>
    <w:rsid w:val="00FB643E"/>
    <w:rsid w:val="00FE0CD9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7</cp:revision>
  <dcterms:created xsi:type="dcterms:W3CDTF">2017-08-10T03:49:00Z</dcterms:created>
  <dcterms:modified xsi:type="dcterms:W3CDTF">2019-09-17T03:02:00Z</dcterms:modified>
</cp:coreProperties>
</file>